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color w:val="5f6368"/>
          <w:sz w:val="33"/>
          <w:szCs w:val="33"/>
          <w:highlight w:val="white"/>
        </w:rPr>
      </w:pPr>
      <w:r w:rsidDel="00000000" w:rsidR="00000000" w:rsidRPr="00000000">
        <w:rPr>
          <w:color w:val="424242"/>
          <w:sz w:val="33"/>
          <w:szCs w:val="33"/>
          <w:highlight w:val="white"/>
          <w:rtl w:val="0"/>
        </w:rPr>
        <w:t xml:space="preserve">Indicador de Inducción en 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5f6368"/>
          <w:sz w:val="33"/>
          <w:szCs w:val="33"/>
          <w:highlight w:val="white"/>
        </w:rPr>
      </w:pPr>
      <w:hyperlink r:id="rId6">
        <w:r w:rsidDel="00000000" w:rsidR="00000000" w:rsidRPr="00000000">
          <w:rPr>
            <w:color w:val="1155cc"/>
            <w:sz w:val="33"/>
            <w:szCs w:val="33"/>
            <w:highlight w:val="white"/>
            <w:u w:val="single"/>
            <w:rtl w:val="0"/>
          </w:rPr>
          <w:t xml:space="preserve">https://datastudio.google.com/reporting/9283b25f-3913-444d-bda6-032d76bfbd63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atastudio.google.com/reporting/9283b25f-3913-444d-bda6-032d76bfbd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